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 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Ханты-М</w:t>
      </w:r>
      <w:r>
        <w:rPr>
          <w:rFonts w:ascii="Times New Roman" w:eastAsia="Times New Roman" w:hAnsi="Times New Roman" w:cs="Times New Roman"/>
          <w:sz w:val="26"/>
          <w:szCs w:val="26"/>
        </w:rPr>
        <w:t>ансийского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мировой судья судебного участка №6 Ханты-М</w:t>
      </w:r>
      <w:r>
        <w:rPr>
          <w:rFonts w:ascii="Times New Roman" w:eastAsia="Times New Roman" w:hAnsi="Times New Roman" w:cs="Times New Roman"/>
          <w:sz w:val="26"/>
          <w:szCs w:val="26"/>
        </w:rPr>
        <w:t>ансийского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Артюх О.П.,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помощника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межрайонного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Рыжовой Н.А.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856/</w:t>
      </w:r>
      <w:r>
        <w:rPr>
          <w:rFonts w:ascii="Times New Roman" w:eastAsia="Times New Roman" w:hAnsi="Times New Roman" w:cs="Times New Roman"/>
          <w:sz w:val="26"/>
          <w:szCs w:val="26"/>
        </w:rPr>
        <w:t>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возбужденное по ч.1 ст.19.28 КоАП РФ в отношении юридического лица – Общества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Fonts w:ascii="Times New Roman" w:eastAsia="Times New Roman" w:hAnsi="Times New Roman" w:cs="Times New Roman"/>
          <w:sz w:val="26"/>
          <w:szCs w:val="26"/>
        </w:rPr>
        <w:t>5506061769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ОГРН </w:t>
      </w:r>
      <w:r>
        <w:rPr>
          <w:rFonts w:ascii="Times New Roman" w:eastAsia="Times New Roman" w:hAnsi="Times New Roman" w:cs="Times New Roman"/>
          <w:sz w:val="26"/>
          <w:szCs w:val="26"/>
        </w:rPr>
        <w:t>1055511053718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г.Омск</w:t>
      </w:r>
      <w:r>
        <w:rPr>
          <w:rFonts w:ascii="Times New Roman" w:eastAsia="Times New Roman" w:hAnsi="Times New Roman" w:cs="Times New Roman"/>
          <w:sz w:val="26"/>
          <w:szCs w:val="26"/>
        </w:rPr>
        <w:t>, ул.20 лет РККА, д.13, к.1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имеется,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ридическим лицом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лице начальника участка Чусовитина А.В., действующего в экономических </w:t>
      </w:r>
      <w:r>
        <w:rPr>
          <w:rFonts w:ascii="Times New Roman" w:eastAsia="Times New Roman" w:hAnsi="Times New Roman" w:cs="Times New Roman"/>
          <w:sz w:val="26"/>
          <w:szCs w:val="26"/>
        </w:rPr>
        <w:t>интересах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общества, в период с 04 по 06 января 2021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нахождения дополнительного офиса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5940/170 Югорского ОСБ ПАО Сбербанк»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допущена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незаконная передача от имени и в интересах юридического лица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за оказание содействия в скорейшем подписании в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 актов о приемке-сдаче отремонтированных, реконструированных, модернизированных объектов основных средств (унифицированная форма №ОС-3), в рамках договоров №ХНТ- 19/11036/740/Р/З5, №ХНТ-19/11036/741/Р/35, заключенных 04.07.2019 с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», на выполнение работ по капитальному ремонту объектов основных средств южной и северной части ЮЛТ Приобского месторождения незаконно передал ведущему инженеру отдела капитального ремонта объектов обустройства месторождений Управления капитального строительства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Грищенко Ю.Н., выполняющему управленческие функции в названной </w:t>
      </w:r>
      <w:r>
        <w:rPr>
          <w:rFonts w:ascii="Times New Roman" w:eastAsia="Times New Roman" w:hAnsi="Times New Roman" w:cs="Times New Roman"/>
          <w:sz w:val="26"/>
          <w:szCs w:val="26"/>
        </w:rPr>
        <w:t>коммерческой организации, денежные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общей сумме 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>
      <w:pPr>
        <w:widowControl w:val="0"/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Противозаконные действия по передаче денежных средств лицу, выполняющему управленческие функции в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 Грищенко Ю.Н., совершены Чусовитиным А.В. в интересах ООО «Югра-Неон» с целью обеспечить подписание в различных службах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Хантос</w:t>
      </w:r>
      <w:r>
        <w:rPr>
          <w:rFonts w:ascii="Times New Roman" w:eastAsia="Times New Roman" w:hAnsi="Times New Roman" w:cs="Times New Roman"/>
          <w:sz w:val="26"/>
          <w:szCs w:val="26"/>
        </w:rPr>
        <w:t>» актов о приемке-сдаче объектов для дальнейшего получения ООО «Югра-Неон» «отложенного» платежа, который предусмотрен п. 7.2 договоров №ХНТ-19/11036/740/Р/З5, №ХНТ-19/11036/741/Р/35 от 04.07.2019.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этом, занимая должность ведущего инженера отдела капитального ремонта объектов обустройства месторождений Управления капитального строительства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Грищенко Ю.Н. в соответствии с приказом </w:t>
      </w:r>
      <w:r>
        <w:rPr>
          <w:rFonts w:ascii="Times New Roman" w:eastAsia="Times New Roman" w:hAnsi="Times New Roman" w:cs="Times New Roman"/>
          <w:sz w:val="26"/>
          <w:szCs w:val="26"/>
        </w:rPr>
        <w:t>врио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генерального директора от 13.06.2018 №345-П являлся куратором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объектам капитального ремонта зимнего и 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жного месторождений. Согласно должностной инструкции в его должностные обязанности входило: контроль выполнения подрядными организациями </w:t>
      </w:r>
      <w:r>
        <w:rPr>
          <w:rFonts w:ascii="Times New Roman" w:eastAsia="Times New Roman" w:hAnsi="Times New Roman" w:cs="Times New Roman"/>
          <w:sz w:val="26"/>
          <w:szCs w:val="26"/>
        </w:rPr>
        <w:t>договорных обязательств; в необходимых случаях «инициирование претензионной работы, предъявление санкций, предусмотренных договором; останавливать выполнение действий/операций работников подрядных организаций, в случае нарушения ими требований законодательства и стандартов общества в области производственной безопасности. Кроме этого, наделен был правами предоставлять интересы общества во взаимоотношениях со сторонними организациями.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Следовательно, Грищенко Ю.Н. являлся лицом, выполняющим управленческие функции в коммерческой организации -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Хантос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свою очередь Чусовитин А.В., занимая должность начальника участка ООО «Югра-Неон», одновременно являлся руководителем проекта. В силу должностной инструкции организовывал и контролировал производство выполняемых работ, подготовку и согласование документов о выполненных работах с заказчиком, то есть выступал в интересах ООО «Югра-Неон», в том числе при незаконной передаче денежных средств Грищенко Ю.Н.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Указанные выше обстоятельства подтверждаются материалами уголовного дела и приговором Ханты-Мансийского районного суда от 07.12.2023, согласно которому Грищенко Ю.Н. признан виновным в совершении преступления, предусмотренного п. «г» ч.7 ст.204 Уголовного кодекса Российской Федерации. Приговор вступил в законную силу 23.12.2023.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Этим же приговором суда установлено, что денежные средства Грищенко Ю.Н. получил посредством переводов на банковскую карту №4274276716797235, выпущенную по счету №40817810867460526292, открытому на его имя, в дополнительном офисе №5940/170 Югорского ОСБ ПАО «Сбербанк»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ул.Энгельса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3,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. В частности, 04.01.2021 перевод в сумме 150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 и 06.01.2021 перевод </w:t>
      </w:r>
      <w:r>
        <w:rPr>
          <w:rFonts w:ascii="Times New Roman" w:eastAsia="Times New Roman" w:hAnsi="Times New Roman" w:cs="Times New Roman"/>
          <w:sz w:val="26"/>
          <w:szCs w:val="26"/>
        </w:rPr>
        <w:t>в сумме 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Поводом для возбуждения уголовного дела по 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«г» ч.7 ст.204 Уголовного кодекса Российской Федерации послужило заявление заместителя генерального директора по корпоративной защите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Муртазина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Р.Ф. о привлечении к ответственности Грищенко Ю.Н. по факту получения незаконного вознаграждения от представителя ООО «Югра-Неон» Чусовитина А.В. (</w:t>
      </w:r>
      <w:r>
        <w:rPr>
          <w:rFonts w:ascii="Times New Roman" w:eastAsia="Times New Roman" w:hAnsi="Times New Roman" w:cs="Times New Roman"/>
          <w:sz w:val="26"/>
          <w:szCs w:val="26"/>
        </w:rPr>
        <w:t>КРСоП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446 от 14.04.2023).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представитель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судебное заседание не явился, до начала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>о применении ст.2.9 КоАП РФ, так как ООО «Югра-Неон» не давало Чусовитину А.В. каких-л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ибо поручений, а также денежные </w:t>
      </w:r>
      <w:r>
        <w:rPr>
          <w:rFonts w:ascii="Times New Roman" w:eastAsia="Times New Roman" w:hAnsi="Times New Roman" w:cs="Times New Roman"/>
          <w:sz w:val="26"/>
          <w:szCs w:val="26"/>
        </w:rPr>
        <w:t>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указанные цели, в связи с чем наступившие последствия не с</w:t>
      </w:r>
      <w:r>
        <w:rPr>
          <w:rFonts w:ascii="Times New Roman" w:eastAsia="Times New Roman" w:hAnsi="Times New Roman" w:cs="Times New Roman"/>
          <w:sz w:val="26"/>
          <w:szCs w:val="26"/>
        </w:rPr>
        <w:t>оразмерны ответственности, проси</w:t>
      </w:r>
      <w:r>
        <w:rPr>
          <w:rFonts w:ascii="Times New Roman" w:eastAsia="Times New Roman" w:hAnsi="Times New Roman" w:cs="Times New Roman"/>
          <w:sz w:val="26"/>
          <w:szCs w:val="26"/>
        </w:rPr>
        <w:t>т освободить ООО «Югра</w:t>
      </w:r>
      <w:r>
        <w:rPr>
          <w:rFonts w:ascii="Times New Roman" w:eastAsia="Times New Roman" w:hAnsi="Times New Roman" w:cs="Times New Roman"/>
          <w:sz w:val="26"/>
          <w:szCs w:val="26"/>
        </w:rPr>
        <w:t>-Неон» от административной отве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венно</w:t>
      </w:r>
      <w:r>
        <w:rPr>
          <w:rFonts w:ascii="Times New Roman" w:eastAsia="Times New Roman" w:hAnsi="Times New Roman" w:cs="Times New Roman"/>
          <w:sz w:val="26"/>
          <w:szCs w:val="26"/>
        </w:rPr>
        <w:t>сти, а также прекратить производство по делу ввиду отсутствия состава.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 ч.2 ст.25.1 КоАП РФ, счел возможным рассмотреть дело об административном правонарушении в отсутствии законного представителя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помощник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межрайонного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Рыжова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доводы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возбуждении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подержала, указала, что наличие состава административного правонарушения подтверждается материалами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росит привлечь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 к административной ответств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енности по ч.1 ст.19.28 КоАП РФ, оснований для применения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2.9,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3.2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4.1 КоАП РФ и снижения Обществу штрафа с учетом характера совершенного правонарушения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прокурора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дела, мировой судья пришел к следующим выводам.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hyperlink r:id="rId4" w:anchor="/document/12125267/entry/1928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- влечет наложение административного штрафа на юридических лиц в размере до трехкратной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</w:t>
      </w:r>
      <w:r>
        <w:rPr>
          <w:rFonts w:ascii="Times New Roman" w:eastAsia="Times New Roman" w:hAnsi="Times New Roman" w:cs="Times New Roman"/>
          <w:sz w:val="26"/>
          <w:szCs w:val="26"/>
        </w:rPr>
        <w:t>оказанных либо обещанных или предложенных от имени юридического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64203/entry/13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В силу требований ст.13.3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25.12.2008 №273-ФЗ «О противодействии коррупции»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Закон о противодействии коррупции)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установлено, что организации обязаны разрабатывать и принимать меры по предупреждению коррупции, которые могут включать, в частности, определение подразделений или должностных лиц, ответственных за профилактику коррупционных и иных правонарушений; сотрудничество организации с правоохранительными органами; разработку и внедрение в практику стандартов и процедур, направленных на обеспечение добросовестной работы организации; принятие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этики и служебного поведения работников организации; предотвращение и урегулирование конфликта интересов; недопущение составления неофициальной отчетности и использования поддельных документов.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части 1 статьи 14 указанного Федерального закона определено, что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объективной стороны правонарушение, предусмотренное ч.1 ст.19.28 КоАП РФ, выражается в совершаемых от имени и (или) в интересах юридического лица действиях, состоящих в незаконной передаче, предложении или обещании должностным лицам, указанным в указанной статье, денег, ценных бумаг, иного имущества либо оказании услуг имущественного характера, предоставлении имущественных прав за совершение должностным лицом в интересах этого юридического лица действия (бездействие), связанного с занимаемым им служебным положением.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Субъектом данного правонарушения является юридическое лицо, от имени или в интересах которого осуществлялись действия, указанные в диспозиции </w:t>
      </w:r>
      <w:hyperlink r:id="rId4" w:anchor="/document/12125267/entry/1928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Изложенные выше о</w:t>
      </w:r>
      <w:r>
        <w:rPr>
          <w:rFonts w:ascii="Times New Roman" w:eastAsia="Times New Roman" w:hAnsi="Times New Roman" w:cs="Times New Roman"/>
          <w:sz w:val="26"/>
          <w:szCs w:val="26"/>
        </w:rPr>
        <w:t>бстоятельства совершения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в интересах юридического лица действий, состоящих в незаконной передаче должностному лицу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Грищенко Ю.Н.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имущества за совершение им в интересах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 дейс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твия, связанного с занимаемым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служебного положения, подтверждаются совокупностью доказательств, исследованных в ходе судебного заседания, а именно: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решением о проведении проверки от 31.03.2025;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приговора Ханты-Мансийского районного суда от </w:t>
      </w:r>
      <w:r>
        <w:rPr>
          <w:rFonts w:ascii="Times New Roman" w:eastAsia="Times New Roman" w:hAnsi="Times New Roman" w:cs="Times New Roman"/>
          <w:sz w:val="26"/>
          <w:szCs w:val="26"/>
        </w:rPr>
        <w:t>07.12.2023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Грищенко Ю.Н.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</w:t>
      </w:r>
      <w:r>
        <w:rPr>
          <w:rFonts w:ascii="Times New Roman" w:eastAsia="Times New Roman" w:hAnsi="Times New Roman" w:cs="Times New Roman"/>
          <w:sz w:val="26"/>
          <w:szCs w:val="26"/>
        </w:rPr>
        <w:t>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г» ч.7 ст.204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 РФ;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приказа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 №</w:t>
      </w:r>
      <w:r>
        <w:rPr>
          <w:rFonts w:ascii="Times New Roman" w:eastAsia="Times New Roman" w:hAnsi="Times New Roman" w:cs="Times New Roman"/>
          <w:sz w:val="26"/>
          <w:szCs w:val="26"/>
        </w:rPr>
        <w:t>345-П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13.06.2018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Грищенко Ю.Н. занимая должность ведущего инженера отдела капитального ремонта объектов обустройства месторождений Управления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капитального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строительства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 куратором по объектам капитального ремонта Зимнего и Южного месторождений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приказа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 №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29.06.2020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принятии на работу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Чусовитин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принят на работу в ООО «Югра-Неон» на должность начальника участка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трудового договора, заключенного между ООО «Югра-Неон» и Чусовитиным А.В. от 29.06.2020 №518;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приказа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«Югра-Неон»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прекращении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Чусовитиным А.В.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трудового договора;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-копией договора </w:t>
      </w:r>
      <w:r>
        <w:rPr>
          <w:rFonts w:ascii="Times New Roman" w:eastAsia="Times New Roman" w:hAnsi="Times New Roman" w:cs="Times New Roman"/>
          <w:sz w:val="26"/>
          <w:szCs w:val="26"/>
        </w:rPr>
        <w:t>подряда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№ХНТ- 19/11036/740/Р/З5, №ХНТ-19/11036/741/Р/35, заключенных 04.07.2019 с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», на выполнение работ по капитальному ремонту объектов основных средств южной и северной части ЮЛТ Приобского месторождения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в</w:t>
      </w:r>
      <w:r>
        <w:rPr>
          <w:rFonts w:ascii="Times New Roman" w:eastAsia="Times New Roman" w:hAnsi="Times New Roman" w:cs="Times New Roman"/>
          <w:sz w:val="26"/>
          <w:szCs w:val="26"/>
        </w:rPr>
        <w:t>ыписки из ЕГРЮЛ в отношении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материалов дела по результатам оперативно-розыскной деятельности УМВД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г.Сургуту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21.06.2023.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 представленные доказательства в совокупности прихожу к выводу о наличии в действиях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события и состава административного правонарушения, предусмотренного </w:t>
      </w:r>
      <w:hyperlink r:id="rId4" w:anchor="/document/12125267/entry/1928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п.10 постановления Пленума Верховного Суда РФ от 09.07.2013 №24 «О судебной практике по делам о взяточничестве и об иных коррупционных преступлениях»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получение и дача взятки, а равно незаконного вознаграждения при коммерческом подкупе считаются оконченными с момента принятия должностным лицом либо лицом, выполняющим управленческие функции в коммерческой или иной организации, хотя бы части передаваемых ему ценностей (например, с момента передачи их лично должностному лицу, зачисления с согласия должностного лица на указанный им счет, «электронный кошелек»). При этом не имеет значения, получили ли указанные лица реальную возможность пользоваться или распоряжаться переданными им ценностями по своему усмотрению.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Следовательно, действия по даче взятки, осуществляемые путем перечисления с банковского счета </w:t>
      </w:r>
      <w:r>
        <w:rPr>
          <w:rFonts w:ascii="Times New Roman" w:eastAsia="Times New Roman" w:hAnsi="Times New Roman" w:cs="Times New Roman"/>
          <w:sz w:val="26"/>
          <w:szCs w:val="26"/>
        </w:rPr>
        <w:t>тети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Чусовитина А.В. – Чусовитиной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В.В. </w:t>
      </w:r>
      <w:r>
        <w:rPr>
          <w:rFonts w:ascii="Times New Roman" w:eastAsia="Times New Roman" w:hAnsi="Times New Roman" w:cs="Times New Roman"/>
          <w:sz w:val="26"/>
          <w:szCs w:val="26"/>
        </w:rPr>
        <w:t>на расчетный банковский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Грищенко Ю.Н.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считаются оконченными с момент поступления денежных средств на счет получателя. Соответственно местом совершения административного правонарушения в таком случае является место окончания противоправных действий по даче взятки, то есть зачисление денежных средств на счет получателя </w:t>
      </w:r>
      <w:r>
        <w:rPr>
          <w:rFonts w:ascii="Times New Roman" w:eastAsia="Times New Roman" w:hAnsi="Times New Roman" w:cs="Times New Roman"/>
          <w:sz w:val="26"/>
          <w:szCs w:val="26"/>
        </w:rPr>
        <w:t>Грищенко Ю.Н.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Местом совершения административного правонарушения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ул.Энгельса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д.3 -место нахождения дополнительного офиса № 5940/170 Югорского ОСБ ПАО Сбербанк, где открыт счет на имя </w:t>
      </w:r>
      <w:r>
        <w:rPr>
          <w:rFonts w:ascii="Times New Roman" w:eastAsia="Times New Roman" w:hAnsi="Times New Roman" w:cs="Times New Roman"/>
          <w:sz w:val="26"/>
          <w:szCs w:val="26"/>
        </w:rPr>
        <w:t>Грищенко Ю.Н.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Чусовитиным А.В. переведены </w:t>
      </w:r>
      <w:r>
        <w:rPr>
          <w:rFonts w:ascii="Times New Roman" w:eastAsia="Times New Roman" w:hAnsi="Times New Roman" w:cs="Times New Roman"/>
          <w:sz w:val="26"/>
          <w:szCs w:val="26"/>
        </w:rPr>
        <w:t>платеж</w:t>
      </w:r>
      <w:r>
        <w:rPr>
          <w:rFonts w:ascii="Times New Roman" w:eastAsia="Times New Roman" w:hAnsi="Times New Roman" w:cs="Times New Roman"/>
          <w:sz w:val="26"/>
          <w:szCs w:val="26"/>
        </w:rPr>
        <w:t>и 04.01.2021 на сумму 150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 и 06.01.2021 на сумму 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Датой совершения правонарушения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06.01.2021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дата последнего перевода денежных средств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на расчетный счет </w:t>
      </w:r>
      <w:r>
        <w:rPr>
          <w:rFonts w:ascii="Times New Roman" w:eastAsia="Times New Roman" w:hAnsi="Times New Roman" w:cs="Times New Roman"/>
          <w:sz w:val="26"/>
          <w:szCs w:val="26"/>
        </w:rPr>
        <w:t>Грищенко Ю.Н.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hyperlink r:id="rId4" w:anchor="/document/12164203/entry/133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ст.13.3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закона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25.12.2008 №273-ФЗ «О противодействии коррупции» установлена обязанность организаций разрабатывать и принимать меры по предупреждению коррупции.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части 2 данной статьи приводится перечень мер по предупреждению коррупции, принимаемых в организации.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Данный перечень мер носит примерный и рекомендательный характер и не ограничивает организации в разработке и принятии мер по предупреждению коррупции.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Принятие всех зависящих от юридического лица мер по недопущению совершения правонарушения, предусмотренного </w:t>
      </w:r>
      <w:hyperlink r:id="rId4" w:anchor="/document/12125267/entry/19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его </w:t>
      </w:r>
      <w:r>
        <w:rPr>
          <w:rFonts w:ascii="Times New Roman" w:eastAsia="Times New Roman" w:hAnsi="Times New Roman" w:cs="Times New Roman"/>
          <w:sz w:val="26"/>
          <w:szCs w:val="26"/>
        </w:rPr>
        <w:t>работниками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означает, что юридическое лицо исчерпало все имеющиеся у него возможности для обеспечения соблюдения соответствующих правил и норм. В этих условиях можно говорить об отсутствии вины юридического лица в соответствии с положениями </w:t>
      </w:r>
      <w:hyperlink r:id="rId4" w:anchor="/document/12125267/entry/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24.5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что исключает возможность его привлечения к административной ответственности.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Материалы данного дела об административном правонарушении не позволяют суду сделать вывод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приняты все зависящие от него меры по соблюдению требований законодательных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ст.19.28 КоАП РФ установлена административная ответственность.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Установлено, что антикоррупционная политика Обществом не проводилась, локальные правовые акты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данной сфере не принимались.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Положения о мерах по предупреждению и противодействию коррупции, работа по профилактике коррупции среди работников общества не проводилась.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Следовательно, обязанность, установленную ст.13.3 Федерального закона №273-ФЗ по разработке и принятию м</w:t>
      </w:r>
      <w:r>
        <w:rPr>
          <w:rFonts w:ascii="Times New Roman" w:eastAsia="Times New Roman" w:hAnsi="Times New Roman" w:cs="Times New Roman"/>
          <w:sz w:val="26"/>
          <w:szCs w:val="26"/>
        </w:rPr>
        <w:t>ер по предупреждению коррупции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 не исполнило.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п.5 примечания к </w:t>
      </w:r>
      <w:hyperlink r:id="rId4" w:anchor="/document/12125267/entry/19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юридическое лицо освобождается от административной ответственности за административное правонарушение, предусмотренное настоящей статьей,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вышеперечисленные обсто</w:t>
      </w:r>
      <w:r>
        <w:rPr>
          <w:rFonts w:ascii="Times New Roman" w:eastAsia="Times New Roman" w:hAnsi="Times New Roman" w:cs="Times New Roman"/>
          <w:sz w:val="26"/>
          <w:szCs w:val="26"/>
        </w:rPr>
        <w:t>ятельства судом не установлены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административное расследование по данному делу не проводилось, факт вымогательства взятки отсутствует.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 мировой судья квалифи</w:t>
      </w:r>
      <w:r>
        <w:rPr>
          <w:rFonts w:ascii="Times New Roman" w:eastAsia="Times New Roman" w:hAnsi="Times New Roman" w:cs="Times New Roman"/>
          <w:sz w:val="26"/>
          <w:szCs w:val="26"/>
        </w:rPr>
        <w:t>цирует по ч.1 ст.19.28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незаконная передача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интересах юридического лица лицу,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выполняющему управленческие функции в коммерческой организации, </w:t>
      </w:r>
      <w:r>
        <w:rPr>
          <w:rFonts w:ascii="Times New Roman" w:eastAsia="Times New Roman" w:hAnsi="Times New Roman" w:cs="Times New Roman"/>
          <w:sz w:val="26"/>
          <w:szCs w:val="26"/>
        </w:rPr>
        <w:t>денег за совершение в интересах данного юридического лица должностным лицом действия, связанного с занимаемым им служебным положением.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Вина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 выражается в незаконной передаче в интересах указанного юридического лица должностном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лицу </w:t>
      </w:r>
      <w:r>
        <w:rPr>
          <w:rFonts w:ascii="Times New Roman" w:eastAsia="Times New Roman" w:hAnsi="Times New Roman" w:cs="Times New Roman"/>
          <w:sz w:val="26"/>
          <w:szCs w:val="26"/>
        </w:rPr>
        <w:t>денежных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>в интересах общества действий</w:t>
      </w:r>
      <w:r>
        <w:rPr>
          <w:rFonts w:ascii="Times New Roman" w:eastAsia="Times New Roman" w:hAnsi="Times New Roman" w:cs="Times New Roman"/>
          <w:sz w:val="26"/>
          <w:szCs w:val="26"/>
        </w:rPr>
        <w:t>, связанных с занимаемым должностным лицом служебным положением.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Интерес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юридического лица заключается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Газпромнефть-Хантос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претензионной работы в случае выявления недостатков при исполнении заключенных договоров, беспрепятственной приёмке договоров,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избежание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в виде штрафо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оплаты работ, отказа заказчика от исполнения договоров </w:t>
      </w:r>
      <w:r>
        <w:rPr>
          <w:rFonts w:ascii="Times New Roman" w:eastAsia="Times New Roman" w:hAnsi="Times New Roman" w:cs="Times New Roman"/>
          <w:sz w:val="26"/>
          <w:szCs w:val="26"/>
        </w:rPr>
        <w:t>за нарушение обязательств, установленных договорами, заключенн</w:t>
      </w:r>
      <w:r>
        <w:rPr>
          <w:rFonts w:ascii="Times New Roman" w:eastAsia="Times New Roman" w:hAnsi="Times New Roman" w:cs="Times New Roman"/>
          <w:sz w:val="26"/>
          <w:szCs w:val="26"/>
        </w:rPr>
        <w:t>ыми между ООО «</w:t>
      </w:r>
      <w:r>
        <w:rPr>
          <w:rFonts w:ascii="Times New Roman" w:eastAsia="Times New Roman" w:hAnsi="Times New Roman" w:cs="Times New Roman"/>
          <w:sz w:val="26"/>
          <w:szCs w:val="26"/>
        </w:rPr>
        <w:t>Газпронефть-Хантос</w:t>
      </w:r>
      <w:r>
        <w:rPr>
          <w:rFonts w:ascii="Times New Roman" w:eastAsia="Times New Roman" w:hAnsi="Times New Roman" w:cs="Times New Roman"/>
          <w:sz w:val="26"/>
          <w:szCs w:val="26"/>
        </w:rPr>
        <w:t>» и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мировой судья в соответствии со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характер совершенного административного правонарушения, 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Обществом совершено правонарушение против порядка управления, ранее к административной ответственности Общество не привлекалось.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</w:t>
      </w:r>
      <w:hyperlink r:id="rId4" w:anchor="/document/12125267/entry/19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юридическое лицо освобождается от административной ответственности за административное правонарушение, предусмотренное настоящей статьей,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Явка с повинной Чусовитина А.В., дача правдивых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ий, признание вины в даче денежного вознаграждения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послужило основанием для отказа в возбуждении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последнего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 на основании примечания </w:t>
      </w:r>
      <w:r>
        <w:rPr>
          <w:rFonts w:ascii="Times New Roman" w:eastAsia="Times New Roman" w:hAnsi="Times New Roman" w:cs="Times New Roman"/>
          <w:sz w:val="26"/>
          <w:szCs w:val="26"/>
        </w:rPr>
        <w:t>2 к ст.204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Обзоре судебной практики Верховного Суда Российской Федерации за четвертый квартал 2012 года указано, что при рассмотрении дела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9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возможность привлечения юридического лица к административной ответственности не должна ставиться в зависимость от наличия обвинительного приговора в отношении физического лица, несмотря на то, что противоправные действия фактически совершаются физическим лицом от имени или в интересах юридического лица. Обвинительный приговор, равно как и определение или постановление суда, постановление следователя о прекращении уголовного дела не имеют заранее установленной силы при рассмотрении дела об административном правонарушении, в связи с чем подлежат оценке в совокупности со всеми собранными по делу доказательствами (вопрос 8).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указал Конституционный Суд Российской Федерации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7031226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определении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от 24.12.2012 №2360-О, которым было отказано в принятии к рассмотрению жалобы юридического лица на нарушение конституционных прав и свобод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9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19.28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установление вины юридического лица в совершении административного правонарушения осуществляется в производстве по делу об административном правонарушении (</w:t>
      </w:r>
      <w:hyperlink r:id="rId6" w:anchor="/document/12125267/entry/261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 3 статьи 26.1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данного кодекса).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Общество свою вину в совершении правонарушения отрицает, административное расследование по данному делу не производилось. Данных о том, что Общество способствовало раскрытию и расследованию преступления, связанного с данным правонарушением, суду не представлено.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Довод Общества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малозначительности совершенного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 отклоняется.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Так,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татья 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не предписывает обязательность освобождения от административной ответственности за малозначительные правонарушения, а предоставляет только право суду принять такое решение.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</w:t>
      </w:r>
      <w:r>
        <w:rPr>
          <w:rFonts w:ascii="Times New Roman" w:eastAsia="Times New Roman" w:hAnsi="Times New Roman" w:cs="Times New Roman"/>
          <w:sz w:val="26"/>
          <w:szCs w:val="26"/>
        </w:rPr>
        <w:t>ерации от 24 марта 2005 г. N 5 «</w:t>
      </w:r>
      <w:r>
        <w:rPr>
          <w:rFonts w:ascii="Times New Roman" w:eastAsia="Times New Roman" w:hAnsi="Times New Roman" w:cs="Times New Roman"/>
          <w:sz w:val="26"/>
          <w:szCs w:val="26"/>
        </w:rPr>
        <w:t>О некоторых вопросах, возникающих у судов при применении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равонарушениях»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разъясняется,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 смыслу приведенных разъяснений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Категория малозначительности относится к числу оценочных, в связи с чем, определяется в каждом конкретном случае, исходя из обстоятельств совершенного правонарушения.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Однако в данном случае, с учетом признаков объективной стороны, роли правонарушителя, существенно нарушены охраняемые общественные отношения в области порядка управления, и установленные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«Югра-Неон» </w:t>
      </w:r>
      <w:r>
        <w:rPr>
          <w:rFonts w:ascii="Times New Roman" w:eastAsia="Times New Roman" w:hAnsi="Times New Roman" w:cs="Times New Roman"/>
          <w:sz w:val="26"/>
          <w:szCs w:val="26"/>
        </w:rPr>
        <w:t>не могут быт</w:t>
      </w:r>
      <w:r>
        <w:rPr>
          <w:rFonts w:ascii="Times New Roman" w:eastAsia="Times New Roman" w:hAnsi="Times New Roman" w:cs="Times New Roman"/>
          <w:sz w:val="26"/>
          <w:szCs w:val="26"/>
        </w:rPr>
        <w:t>ь признаны малозначительными.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Соответственно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неприменима к ООО «Югра-Неон».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оснований для прекращения производства по делу об административном правонарушении ввиду отсутствия состава правонарушения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Смягчающих и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судом не установлено.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Принимая во внимание характер совершенного правонарушения, конкретные обстоятельства дела, имущественное и финансовое положение ООО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суд считает возможным назначить в отношении данного юридического лица административное наказание в виде административного штрафа, предусмотренного санкцией статьи.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Исключительных обстоятельств,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4103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п.3.2 ст.4.1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не установлено. Характер совершенного административного правонарушения не свидетельствует о целесообразности применения положений данной нормы, сведений о наличии исключительных обстоятельств, связанных с имущественным и финансовым положением привлекаемого к административной ответственности юридического лица, не представлено.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Санкция </w:t>
      </w:r>
      <w:hyperlink r:id="rId5" w:anchor="/document/12125267/entry/1928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предусматривает наказание в отношении юридических лиц в виде административного штрафа с конфискацией денег, ценных бумаг, иного имущества или стоимости услуг имущественного характера, иных имущественных прав.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Поскольку в рамках производства по делу об административном правонарушении переданные денежные сред</w:t>
      </w:r>
      <w:r>
        <w:rPr>
          <w:rFonts w:ascii="Times New Roman" w:eastAsia="Times New Roman" w:hAnsi="Times New Roman" w:cs="Times New Roman"/>
          <w:sz w:val="26"/>
          <w:szCs w:val="26"/>
        </w:rPr>
        <w:t>ства, явившиеся предметом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, не изымались, мировой судья не находит оснований для применения дополнительного наказания в виде конфискации.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Ограничения, связанные с владением, пользованием, распоряжением </w:t>
      </w:r>
      <w:r>
        <w:rPr>
          <w:rFonts w:ascii="Times New Roman" w:eastAsia="Times New Roman" w:hAnsi="Times New Roman" w:cs="Times New Roman"/>
          <w:sz w:val="26"/>
          <w:szCs w:val="26"/>
        </w:rPr>
        <w:t>арестованным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имуществом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автомобиль марки LADA 4х4 212140, 2022 </w:t>
      </w:r>
      <w:r>
        <w:rPr>
          <w:rFonts w:ascii="Times New Roman" w:eastAsia="Times New Roman" w:hAnsi="Times New Roman" w:cs="Times New Roman"/>
          <w:sz w:val="26"/>
          <w:szCs w:val="26"/>
        </w:rPr>
        <w:t>г.в</w:t>
      </w:r>
      <w:r>
        <w:rPr>
          <w:rFonts w:ascii="Times New Roman" w:eastAsia="Times New Roman" w:hAnsi="Times New Roman" w:cs="Times New Roman"/>
          <w:sz w:val="26"/>
          <w:szCs w:val="26"/>
        </w:rPr>
        <w:t>., VIN XTA212300N0814872, балансов</w:t>
      </w:r>
      <w:r>
        <w:rPr>
          <w:rFonts w:ascii="Times New Roman" w:eastAsia="Times New Roman" w:hAnsi="Times New Roman" w:cs="Times New Roman"/>
          <w:sz w:val="26"/>
          <w:szCs w:val="26"/>
        </w:rPr>
        <w:t>ой стоимостью 361 857,53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определением мирового судьи судебного участка №3 Ханты-Мансийского судебного района от </w:t>
      </w:r>
      <w:r>
        <w:rPr>
          <w:rFonts w:ascii="Times New Roman" w:eastAsia="Times New Roman" w:hAnsi="Times New Roman" w:cs="Times New Roman"/>
          <w:sz w:val="26"/>
          <w:szCs w:val="26"/>
        </w:rPr>
        <w:t>30.06.2025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считает необходимым сохранить до исполнения 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ложенного, руководствуясь статьями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23.1, 29.10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судья, 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общество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Югра-Неон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ч.1 ст.19.28 КоАП РФ, и назначить ему наказание в виде администр</w:t>
      </w:r>
      <w:r>
        <w:rPr>
          <w:rFonts w:ascii="Times New Roman" w:eastAsia="Times New Roman" w:hAnsi="Times New Roman" w:cs="Times New Roman"/>
          <w:sz w:val="26"/>
          <w:szCs w:val="26"/>
        </w:rPr>
        <w:t>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000 (один миллион) рублей без конфискации денежных средств, являющихся предметом правонарушения.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Ограничения, связанные с владением, пользованием, распоряжением </w:t>
      </w:r>
      <w:r>
        <w:rPr>
          <w:rFonts w:ascii="Times New Roman" w:eastAsia="Times New Roman" w:hAnsi="Times New Roman" w:cs="Times New Roman"/>
          <w:sz w:val="26"/>
          <w:szCs w:val="26"/>
        </w:rPr>
        <w:t>арестованным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имуществом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-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втомобилем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марки LADA 4х4 212140, 2022 </w:t>
      </w:r>
      <w:r>
        <w:rPr>
          <w:rFonts w:ascii="Times New Roman" w:eastAsia="Times New Roman" w:hAnsi="Times New Roman" w:cs="Times New Roman"/>
          <w:sz w:val="26"/>
          <w:szCs w:val="26"/>
        </w:rPr>
        <w:t>г.в</w:t>
      </w:r>
      <w:r>
        <w:rPr>
          <w:rFonts w:ascii="Times New Roman" w:eastAsia="Times New Roman" w:hAnsi="Times New Roman" w:cs="Times New Roman"/>
          <w:sz w:val="26"/>
          <w:szCs w:val="26"/>
        </w:rPr>
        <w:t>., VIN XTA212300N0814872, балансовой стоимостью 361 857,53 рублей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также арест, наложенный на денежные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«Югра-Неон» в пределах суммы 638 142,47 рублей, находящиеся на банковских счетах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40702810204000020290 (дата открытия 15.11.2016),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40702810404000070176 (дата открытия 29.06.2020), в ПАО Банк «ПСБ»,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40702810407000039499, открытый в АО «Райффайзенбанк»,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40702810829430000462, открытый в Банк ВТБ (ПАО),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40702810800080000316, открытый в АО «Всероссийский банк развития регионов»,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40702810345000019154, открытый в ПАО «Сбербанк России»,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40702810500000231969, 40702810100000140638, №40702810700000172527, 40702810170000007581, открытые в «Газпромбанк» (АО),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40702810723050009545,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40702810223050014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001, открытые в АО «Альфа Банк»,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наложенные определением мирового судьи судебного участка №3 Ханты-Мансийского судебного района от 30.06.2025</w:t>
      </w:r>
      <w:r>
        <w:rPr>
          <w:rFonts w:ascii="Times New Roman" w:eastAsia="Times New Roman" w:hAnsi="Times New Roman" w:cs="Times New Roman"/>
          <w:sz w:val="26"/>
          <w:szCs w:val="26"/>
        </w:rPr>
        <w:t>, сохранить до исполнения постановления о назначении административного наказания.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– Югре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г. Ханты-Мансийска БИК 047162163 ОКТМО 71871000 ИНН 8601073664 КПП 860101001 КБК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720 </w:t>
      </w:r>
      <w:r>
        <w:rPr>
          <w:rFonts w:ascii="Times New Roman" w:eastAsia="Times New Roman" w:hAnsi="Times New Roman" w:cs="Times New Roman"/>
          <w:sz w:val="26"/>
          <w:szCs w:val="26"/>
        </w:rPr>
        <w:t>1 1601193 01 0028 140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0412365400725008562519144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53758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consultantplus://offline/ref=8D18CF5AF988661651369047203C074060E05422584256BA057E48C181698686389CB2A251724E70EDAA930A0441C14208429022A5A95B9Dd80BF" TargetMode="External" /><Relationship Id="rId8" Type="http://schemas.openxmlformats.org/officeDocument/2006/relationships/hyperlink" Target="consultantplus://offline/ref=8D18CF5AF988661651369047203C074062ED5A2F584C56BA057E48C181698686389CB2A251724E71EEAA930A0441C14208429022A5A95B9Dd80BF" TargetMode="External" /><Relationship Id="rId9" Type="http://schemas.openxmlformats.org/officeDocument/2006/relationships/header" Target="header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89126-6504-43F0-A2A2-E52265FF69D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